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40"/>
    <w:p>
      <w:pPr>
        <w:pStyle w:val="Heading1"/>
      </w:pPr>
      <w:r>
        <w:t xml:space="preserve">Homiletics Analysis: Jeremiah 40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(Jeremiah 37–45 — The Passion Narrative of Jeremiah):</w:t>
      </w:r>
    </w:p>
    <w:p>
      <w:pPr>
        <w:pStyle w:val="BodyText"/>
      </w:pPr>
      <w:r>
        <w:t xml:space="preserve">Jeremiah 40 belongs to a sustained biographical section (chapters 37–45) that follows Jeremiah through the final siege of Jerusalem, its fall, the immediate aftermath, and the flight to Egypt. This broader unit functions as a kind of passion narrative — the prophet who has proclaimed judgment for decades now lives through its arrival and bears witness to what happens when a people finally encounter the word they refused to hear. Within this unit, chapter 40 opens the post-fall Judean episode, covering the period between the city’s destruction and the assassination of Gedaliah. It establishes the conditions under which the remnant community either might have found restoration or would choose destruction.</w:t>
      </w:r>
    </w:p>
    <w:p>
      <w:pPr>
        <w:pStyle w:val="BodyText"/>
      </w:pPr>
      <w:r>
        <w:rPr>
          <w:b/>
          <w:bCs/>
        </w:rPr>
        <w:t xml:space="preserve">This Text — Content:</w:t>
      </w:r>
    </w:p>
    <w:p>
      <w:pPr>
        <w:pStyle w:val="BodyText"/>
      </w:pPr>
      <w:r>
        <w:t xml:space="preserve">Jeremiah 40 contains two distinct movements. In the first (verses 1–6), Nebuzaradan, the Babylonian captain of the guard, releases Jeremiah at Ramah, delivers a remarkable speech acknowledging that the LORD brought calamity upon Judah exactly as He had promised, and offers Jeremiah the choice to go to Babylon under royal protection or to remain in the land. Jeremiah chooses to remain, returning to Gedaliah at Mizpah. In the second movement (verses 7–16), Gedaliah ben Ahikam is established as governor over the remnant left in the land. He receives scattered Judean commanders and their forces, exhorts them to serve the Babylonians and dwell in the land, and promises safety to those who gather under him. The chapter closes with Johanan warning Gedaliah of an assassination plot by Ishmael, acting under Ammonite sponsorship — a warning Gedaliah dismisses.</w:t>
      </w:r>
    </w:p>
    <w:p>
      <w:pPr>
        <w:pStyle w:val="BodyText"/>
      </w:pPr>
      <w:r>
        <w:rPr>
          <w:b/>
          <w:bCs/>
        </w:rPr>
        <w:t xml:space="preserve">This Text — Intent:</w:t>
      </w:r>
    </w:p>
    <w:p>
      <w:pPr>
        <w:pStyle w:val="BodyText"/>
      </w:pPr>
      <w:r>
        <w:t xml:space="preserve">God is placing before the remnant — and before every reader — a moment of genuine, grace-laden opportunity. The judgment has fallen. What comes next is not inevitable: Gedaliah’s governorship represents a fragile but real opening for the remnant to remain in the land, submit to Babylonian authority (as Jeremiah has consistently counseled), and begin rebuilding. God intends this chapter to function as a mirror for how covenant communities respond to the aftermath of discipline — whether they receive the opening God provides with humility and obedience, or whether mistrust, political maneuvering, and refusal to believe God’s word even now will foreclose the restoration offered. The haunting detail of Gedaliah’s rejection of Johanan’s warning is not incidental — it dramatizes the fatal pattern of refusing credible warnings that characterized Judah throughout. Even in the aftermath of judgment, the same posture recurs.</w:t>
      </w:r>
    </w:p>
    <w:p>
      <w:r>
        <w:pict>
          <v:rect style="width:0;height:1.5pt" o:hralign="center" o:hrstd="t" o:hr="t"/>
        </w:pict>
      </w:r>
    </w:p>
    <w:p>
      <w:pPr>
        <w:pStyle w:val="FirstParagraph"/>
      </w:pPr>
      <w:r>
        <w:rPr>
          <w:b/>
          <w:bCs/>
        </w:rPr>
        <w:t xml:space="preserve">Subject Sentence:</w:t>
      </w:r>
      <w:r>
        <w:t xml:space="preserve"> </w:t>
      </w:r>
      <w:r>
        <w:t xml:space="preserve">After Jerusalem falls, God opens an unexpected door of restoration for the remnant in the land.</w:t>
      </w:r>
    </w:p>
    <w:p>
      <w:r>
        <w:pict>
          <v:rect style="width:0;height:1.5pt" o:hralign="center" o:hrstd="t" o:hr="t"/>
        </w:pict>
      </w:r>
    </w:p>
    <w:p>
      <w:pPr>
        <w:pStyle w:val="FirstParagraph"/>
      </w:pPr>
      <w:r>
        <w:rPr>
          <w:b/>
          <w:bCs/>
        </w:rPr>
        <w:t xml:space="preserve">Primary Claim:</w:t>
      </w:r>
      <w:r>
        <w:t xml:space="preserve"> </w:t>
      </w:r>
      <w:r>
        <w:t xml:space="preserve">God’s discipline of His people does not foreclose His purposes — He opens a way forward even in the rubble of judgment, and the question facing the remnant (and every reader) is whether they will receive His provision with humble obedience or squander it through the same unbelieving patterns that brought the judgment in the first place.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significance of Nebuzaradan’s speech (vv. 2–3):</w:t>
      </w:r>
      <w:r>
        <w:t xml:space="preserve"> </w:t>
      </w:r>
      <w:r>
        <w:t xml:space="preserve">A notable interpretive question is how to read the Babylonian captain’s explicit theological interpretation of Jerusalem’s fall. Nebuzaradan says, with striking precision, that the LORD brought calamity because Judah sinned against Him and did not obey His voice. Some interpreters treat this as merely diplomatic or politically calculated — Babylon attributing the city’s fall to its own deity (in this case, coopting Judah’s theology) to manage the conquered population. This reading, while not groundless, does not adequately account for the narrator’s presentation. The speech is not attributed to Babylonian religious calculation but is placed in the narrative as a straightforward statement — one that is, in fact, exactly what Jeremiah has been saying for decades. The Reformed reading, grounded in the canonical context, treats Nebuzaradan’s words as a remarkable instance of God’s sovereignty working through a pagan official to vindicate, in plain speech, the entire prophetic ministry of Jeremiah. That a Babylonian general articulates the theology more clearly than Judah’s own kings and priests did is itself a devastating commentary — and an intentional irony the narrator expects the reader to feel. This aligns with the broader canonical pattern (Cyrus in Isaiah 44–45; Balaam in Numbers 22–24) of God using unexpected mouths to speak His truth.</w:t>
      </w:r>
    </w:p>
    <w:p>
      <w:pPr>
        <w:pStyle w:val="BodyText"/>
      </w:pPr>
      <w:r>
        <w:rPr>
          <w:b/>
          <w:bCs/>
        </w:rPr>
        <w:t xml:space="preserve">Gedaliah’s governorship — hope or tragedy?</w:t>
      </w:r>
      <w:r>
        <w:t xml:space="preserve"> </w:t>
      </w:r>
      <w:r>
        <w:t xml:space="preserve">Some readers, particularly within dispensational frameworks that read this section primarily through the lens of Israel’s national future, treat Gedaliah’s appointment as merely transitional — a political arrangement with no particular theological freight. The Reformed reading finds more here: Gedaliah’s brief governorship represents a genuine, divinely-provided opportunity for the remnant to inhabit the land under the terms Jeremiah had consistently proclaimed (submit to Babylon; do not flee; the land is not permanently lost). The appointment of an Ahikam family member — Ahikam having protected Jeremiah (Jeremiah 26:24) — signals continuity with those who had received the prophetic word. This is not merely a political accident; it is a gracious provision. The tragedy of what follows (chapter 41) gains its full weight only if the reader grasps that what is squandered in Gedaliah’s assassination is not just a governor but a divinely-opened possibility.</w:t>
      </w:r>
    </w:p>
    <w:p>
      <w:pPr>
        <w:pStyle w:val="BodyText"/>
      </w:pPr>
      <w:r>
        <w:rPr>
          <w:b/>
          <w:bCs/>
        </w:rPr>
        <w:t xml:space="preserve">Gedaliah’s dismissal of the warning (vv. 13–16):</w:t>
      </w:r>
      <w:r>
        <w:t xml:space="preserve"> </w:t>
      </w:r>
      <w:r>
        <w:t xml:space="preserve">Some commentators read Gedaliah’s refusal to believe Johanan’s warning as a character virtue — a noble refusal to act on unconfirmed suspicion or to assassinate a fellow Israelite preemptively. This reading acknowledges a genuine complexity: Gedaliah’s response is not obviously malicious. However, the narrative trajectory makes clear that his dismissal is, at minimum, catastrophically naive, and the placement of the warning immediately before the assassination (chapter 41) functions as a deliberate literary echo of Judah’s repeated pattern: the word came, the warning was given, it was not believed, and disaster followed. The Reformed reading does not require Gedaliah to be a villain — it simply reads the narrative as the narrator intends: another instance, even among the survivors, of the failure to receive and act on the word that would have preserved life.</w:t>
      </w:r>
    </w:p>
    <w:p>
      <w:pPr>
        <w:pStyle w:val="BodyText"/>
      </w:pPr>
      <w:r>
        <w:t xml:space="preserve">No significant divergence exists among orthodox traditions on the core theological reading of this chapter. The above issues represent points of emphasis and framing rather than deep hermeneutical conflict.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Jeremiah 29:4–7</w:t>
      </w:r>
      <w:r>
        <w:t xml:space="preserve"> </w:t>
      </w:r>
      <w:r>
        <w:t xml:space="preserve">— God’s earlier word to the exiles to settle in Babylon and seek its welfare; Gedaliah’s exhortation in 40:9–10 echoes this same posture applied to those remaining in the land — the faithful way forward after judgment is submission and settlement, not resistance or flight.</w:t>
      </w:r>
    </w:p>
    <w:p>
      <w:pPr>
        <w:numPr>
          <w:ilvl w:val="0"/>
          <w:numId w:val="1001"/>
        </w:numPr>
      </w:pPr>
      <w:r>
        <w:rPr>
          <w:b/>
          <w:bCs/>
        </w:rPr>
        <w:t xml:space="preserve">Jeremiah 26:24</w:t>
      </w:r>
      <w:r>
        <w:t xml:space="preserve"> </w:t>
      </w:r>
      <w:r>
        <w:t xml:space="preserve">— Ahikam son of Shaphan protected Jeremiah from death; Gedaliah is Ahikam’s son, connecting him to those who received the prophetic word, and giving the remnant a governor with genuine continuity to Jeremiah’s ministry.</w:t>
      </w:r>
    </w:p>
    <w:p>
      <w:pPr>
        <w:numPr>
          <w:ilvl w:val="0"/>
          <w:numId w:val="1001"/>
        </w:numPr>
      </w:pPr>
      <w:r>
        <w:rPr>
          <w:b/>
          <w:bCs/>
        </w:rPr>
        <w:t xml:space="preserve">Lamentations 3:31–33</w:t>
      </w:r>
      <w:r>
        <w:t xml:space="preserve"> </w:t>
      </w:r>
      <w:r>
        <w:t xml:space="preserve">—</w:t>
      </w:r>
      <w:r>
        <w:t xml:space="preserve"> </w:t>
      </w:r>
      <w:r>
        <w:t xml:space="preserve">“For the Lord will not cast off forever; though he cause grief, he will have compassion according to the abundance of his steadfast love.”</w:t>
      </w:r>
      <w:r>
        <w:t xml:space="preserve"> </w:t>
      </w:r>
      <w:r>
        <w:t xml:space="preserve">The opening of a way forward through Gedaliah embodies this principle — judgment is not God’s last word.</w:t>
      </w:r>
    </w:p>
    <w:p>
      <w:pPr>
        <w:numPr>
          <w:ilvl w:val="0"/>
          <w:numId w:val="1001"/>
        </w:numPr>
      </w:pPr>
      <w:r>
        <w:rPr>
          <w:b/>
          <w:bCs/>
        </w:rPr>
        <w:t xml:space="preserve">Romans 11:1–6</w:t>
      </w:r>
      <w:r>
        <w:t xml:space="preserve"> </w:t>
      </w:r>
      <w:r>
        <w:t xml:space="preserve">— Paul’s argument that God has not rejected His people, evidenced by the existence of a remnant chosen by grace; the remnant theology operative in Jeremiah 40 is part of the same canonical thread about God’s preservation of a faithful people through judgment.</w:t>
      </w:r>
    </w:p>
    <w:p>
      <w:pPr>
        <w:numPr>
          <w:ilvl w:val="0"/>
          <w:numId w:val="1001"/>
        </w:numPr>
      </w:pPr>
      <w:r>
        <w:rPr>
          <w:b/>
          <w:bCs/>
        </w:rPr>
        <w:t xml:space="preserve">Isaiah 10:20–22</w:t>
      </w:r>
      <w:r>
        <w:t xml:space="preserve"> </w:t>
      </w:r>
      <w:r>
        <w:t xml:space="preserve">— The remnant that escapes will lean on the LORD; the post-fall situation of Jeremiah 40 is the historical instantiation of what Isaiah’s remnant theology promises — that a people will survive the rod and have the possibility of genuine return.</w:t>
      </w:r>
    </w:p>
    <w:p>
      <w:r>
        <w:pict>
          <v:rect style="width:0;height:1.5pt" o:hralign="center" o:hrstd="t" o:hr="t"/>
        </w:pict>
      </w:r>
    </w:p>
    <w:p>
      <w:pPr>
        <w:pStyle w:val="FirstParagraph"/>
      </w:pPr>
      <w:r>
        <w:rPr>
          <w:b/>
          <w:bCs/>
        </w:rPr>
        <w:t xml:space="preserve">Aim:</w:t>
      </w:r>
      <w:r>
        <w:t xml:space="preserve"> </w:t>
      </w:r>
      <w:r>
        <w:t xml:space="preserve">To show that God’s discipline is purposive and not final — He opens real doors of restoration in the wreckage of judgment — and to expose the recurring human pattern of squandering those openings through the same unbelieving habits that necessitated the judgment in the first place.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40:1</w:t>
            </w:r>
          </w:p>
        </w:tc>
        <w:tc>
          <w:tcPr/>
          <w:p>
            <w:pPr>
              <w:pStyle w:val="Compact"/>
            </w:pPr>
            <w:r>
              <w:t xml:space="preserve">Introductory heading: the word came to Jeremiah at Ramah after his release; he had been bound in chains among the exiles being deported</w:t>
            </w:r>
          </w:p>
        </w:tc>
        <w:tc>
          <w:tcPr/>
          <w:p>
            <w:pPr>
              <w:pStyle w:val="Compact"/>
            </w:pPr>
            <w:r>
              <w:t xml:space="preserve">Ramah is north of Jerusalem — a staging point for deportees; Jeremiah is among the bound prisoners, apparently by mistake or administrative confusion</w:t>
            </w:r>
          </w:p>
        </w:tc>
      </w:tr>
      <w:tr>
        <w:tc>
          <w:tcPr/>
          <w:p>
            <w:pPr>
              <w:pStyle w:val="Compact"/>
            </w:pPr>
            <w:r>
              <w:t xml:space="preserve">40:2–3</w:t>
            </w:r>
          </w:p>
        </w:tc>
        <w:tc>
          <w:tcPr/>
          <w:p>
            <w:pPr>
              <w:pStyle w:val="Compact"/>
            </w:pPr>
            <w:r>
              <w:t xml:space="preserve">Nebuzaradan speaks: he acknowledges the LORD brought disaster on this place because they sinned and did not obey; he attributes the fall directly to Judah’s covenant failure</w:t>
            </w:r>
          </w:p>
        </w:tc>
        <w:tc>
          <w:tcPr/>
          <w:p>
            <w:pPr>
              <w:pStyle w:val="Compact"/>
            </w:pPr>
            <w:r>
              <w:t xml:space="preserve">A Babylonian commander articulates the prophetic theology more plainly than Judah’s leadership ever accepted it — a profound narrative irony</w:t>
            </w:r>
          </w:p>
        </w:tc>
      </w:tr>
      <w:tr>
        <w:tc>
          <w:tcPr/>
          <w:p>
            <w:pPr>
              <w:pStyle w:val="Compact"/>
            </w:pPr>
            <w:r>
              <w:t xml:space="preserve">40:4</w:t>
            </w:r>
          </w:p>
        </w:tc>
        <w:tc>
          <w:tcPr/>
          <w:p>
            <w:pPr>
              <w:pStyle w:val="Compact"/>
            </w:pPr>
            <w:r>
              <w:t xml:space="preserve">Nebuzaradan releases Jeremiah: the chains are removed; Babylon will not compel Jeremiah either to come to Babylon or to stay — he is free to choose</w:t>
            </w:r>
          </w:p>
        </w:tc>
        <w:tc>
          <w:tcPr/>
          <w:p>
            <w:pPr>
              <w:pStyle w:val="Compact"/>
            </w:pPr>
            <w:r>
              <w:t xml:space="preserve">Unprecedented: the prophet who was imprisoned by his own king is now freed and given genuine liberty by the conquering power</w:t>
            </w:r>
          </w:p>
        </w:tc>
      </w:tr>
      <w:tr>
        <w:tc>
          <w:tcPr/>
          <w:p>
            <w:pPr>
              <w:pStyle w:val="Compact"/>
            </w:pPr>
            <w:r>
              <w:t xml:space="preserve">40:5</w:t>
            </w:r>
          </w:p>
        </w:tc>
        <w:tc>
          <w:tcPr/>
          <w:p>
            <w:pPr>
              <w:pStyle w:val="Compact"/>
            </w:pPr>
            <w:r>
              <w:t xml:space="preserve">Nebuzaradan directs Jeremiah toward Gedaliah at Mizpah, provides him with food and a gift, and dismisses him</w:t>
            </w:r>
          </w:p>
        </w:tc>
        <w:tc>
          <w:tcPr/>
          <w:p>
            <w:pPr>
              <w:pStyle w:val="Compact"/>
            </w:pPr>
            <w:r>
              <w:t xml:space="preserve">The practical provision mirrors the theological reality: God through a pagan official gives Jeremiah what his own people never did — acknowledgment and sustenance</w:t>
            </w:r>
          </w:p>
        </w:tc>
      </w:tr>
      <w:tr>
        <w:tc>
          <w:tcPr/>
          <w:p>
            <w:pPr>
              <w:pStyle w:val="Compact"/>
            </w:pPr>
            <w:r>
              <w:t xml:space="preserve">40:6</w:t>
            </w:r>
          </w:p>
        </w:tc>
        <w:tc>
          <w:tcPr/>
          <w:p>
            <w:pPr>
              <w:pStyle w:val="Compact"/>
            </w:pPr>
            <w:r>
              <w:t xml:space="preserve">Jeremiah goes to Gedaliah at Mizpah and remains with the people left in the land</w:t>
            </w:r>
          </w:p>
        </w:tc>
        <w:tc>
          <w:tcPr/>
          <w:p>
            <w:pPr>
              <w:pStyle w:val="Compact"/>
            </w:pPr>
            <w:r>
              <w:t xml:space="preserve">Jeremiah’s choice to remain rather than go to Babylon is both a personal act and a prophetic one — he embodies the word he has been preaching: the land is not abandoned</w:t>
            </w:r>
          </w:p>
        </w:tc>
      </w:tr>
      <w:tr>
        <w:tc>
          <w:tcPr/>
          <w:p>
            <w:pPr>
              <w:pStyle w:val="Compact"/>
            </w:pPr>
            <w:r>
              <w:t xml:space="preserve">40:7–8</w:t>
            </w:r>
          </w:p>
        </w:tc>
        <w:tc>
          <w:tcPr/>
          <w:p>
            <w:pPr>
              <w:pStyle w:val="Compact"/>
            </w:pPr>
            <w:r>
              <w:t xml:space="preserve">The scattered Judean military commanders in the open country hear that a remnant remains in the land under Gedaliah; they come to Gedaliah at Mizpah, listing those who come</w:t>
            </w:r>
          </w:p>
        </w:tc>
        <w:tc>
          <w:tcPr/>
          <w:p>
            <w:pPr>
              <w:pStyle w:val="Compact"/>
            </w:pPr>
            <w:r>
              <w:t xml:space="preserve">The gathering of forces signals a real, if fragile, reconstitution of a community in the land</w:t>
            </w:r>
          </w:p>
        </w:tc>
      </w:tr>
      <w:tr>
        <w:tc>
          <w:tcPr/>
          <w:p>
            <w:pPr>
              <w:pStyle w:val="Compact"/>
            </w:pPr>
            <w:r>
              <w:t xml:space="preserve">40:9</w:t>
            </w:r>
          </w:p>
        </w:tc>
        <w:tc>
          <w:tcPr/>
          <w:p>
            <w:pPr>
              <w:pStyle w:val="Compact"/>
            </w:pPr>
            <w:r>
              <w:t xml:space="preserve">Gedaliah’s oath and exhortation: do not be afraid of serving the Chaldeans; dwell in the land and serve the king of Babylon and it will be well with you</w:t>
            </w:r>
          </w:p>
        </w:tc>
        <w:tc>
          <w:tcPr/>
          <w:p>
            <w:pPr>
              <w:pStyle w:val="Compact"/>
            </w:pPr>
            <w:r>
              <w:t xml:space="preserve">Gedaliah’s exhortation directly echoes Jeremiah’s consistent prophetic counsel — to submit rather than resist; he is governing in alignment with the word</w:t>
            </w:r>
          </w:p>
        </w:tc>
      </w:tr>
      <w:tr>
        <w:tc>
          <w:tcPr/>
          <w:p>
            <w:pPr>
              <w:pStyle w:val="Compact"/>
            </w:pPr>
            <w:r>
              <w:t xml:space="preserve">40:10</w:t>
            </w:r>
          </w:p>
        </w:tc>
        <w:tc>
          <w:tcPr/>
          <w:p>
            <w:pPr>
              <w:pStyle w:val="Compact"/>
            </w:pPr>
            <w:r>
              <w:t xml:space="preserve">Gedaliah will represent the people before the Babylonians; the people are to gather wine, summer fruit, and oil, and dwell in the cities they hold</w:t>
            </w:r>
          </w:p>
        </w:tc>
        <w:tc>
          <w:tcPr/>
          <w:p>
            <w:pPr>
              <w:pStyle w:val="Compact"/>
            </w:pPr>
            <w:r>
              <w:t xml:space="preserve">The vision of normal agrarian life continuing in the land — a genuine, if modest, form of restoration</w:t>
            </w:r>
          </w:p>
        </w:tc>
      </w:tr>
      <w:tr>
        <w:tc>
          <w:tcPr/>
          <w:p>
            <w:pPr>
              <w:pStyle w:val="Compact"/>
            </w:pPr>
            <w:r>
              <w:t xml:space="preserve">40:11–12</w:t>
            </w:r>
          </w:p>
        </w:tc>
        <w:tc>
          <w:tcPr/>
          <w:p>
            <w:pPr>
              <w:pStyle w:val="Compact"/>
            </w:pPr>
            <w:r>
              <w:t xml:space="preserve">Jews scattered to Moab, Ammon, Edom, and other lands hear that a remnant survives under Gedaliah; they return to Judah and gather a great harvest</w:t>
            </w:r>
          </w:p>
        </w:tc>
        <w:tc>
          <w:tcPr/>
          <w:p>
            <w:pPr>
              <w:pStyle w:val="Compact"/>
            </w:pPr>
            <w:r>
              <w:t xml:space="preserve">The breadth of the return — diaspora communities flowing back — signals real restoration potential; the harvest underscores God’s material provision even in the aftermath of judgment</w:t>
            </w:r>
          </w:p>
        </w:tc>
      </w:tr>
      <w:tr>
        <w:tc>
          <w:tcPr/>
          <w:p>
            <w:pPr>
              <w:pStyle w:val="Compact"/>
            </w:pPr>
            <w:r>
              <w:t xml:space="preserve">40:13–14</w:t>
            </w:r>
          </w:p>
        </w:tc>
        <w:tc>
          <w:tcPr/>
          <w:p>
            <w:pPr>
              <w:pStyle w:val="Compact"/>
            </w:pPr>
            <w:r>
              <w:t xml:space="preserve">Johanan and the commanders warn Gedaliah: Baalis, king of Ammon, has sent Ishmael son of Netaniah to assassinate him</w:t>
            </w:r>
          </w:p>
        </w:tc>
        <w:tc>
          <w:tcPr/>
          <w:p>
            <w:pPr>
              <w:pStyle w:val="Compact"/>
            </w:pPr>
            <w:r>
              <w:t xml:space="preserve">The warning comes from credible sources; the Ammonite backing of Ishmael indicates regional political hostility to any stabilization of Judah under Babylon</w:t>
            </w:r>
          </w:p>
        </w:tc>
      </w:tr>
      <w:tr>
        <w:tc>
          <w:tcPr/>
          <w:p>
            <w:pPr>
              <w:pStyle w:val="Compact"/>
            </w:pPr>
            <w:r>
              <w:t xml:space="preserve">40:15</w:t>
            </w:r>
          </w:p>
        </w:tc>
        <w:tc>
          <w:tcPr/>
          <w:p>
            <w:pPr>
              <w:pStyle w:val="Compact"/>
            </w:pPr>
            <w:r>
              <w:t xml:space="preserve">Johanan privately offers to kill Ishmael preemptively; Gedaliah refuses</w:t>
            </w:r>
          </w:p>
        </w:tc>
        <w:tc>
          <w:tcPr/>
          <w:p>
            <w:pPr>
              <w:pStyle w:val="Compact"/>
            </w:pPr>
            <w:r>
              <w:t xml:space="preserve">Johanan’s offer may itself be morally complex; Gedaliah’s refusal is not unreasonable in isolation, but the narrative frames it as the critical failure point</w:t>
            </w:r>
          </w:p>
        </w:tc>
      </w:tr>
      <w:tr>
        <w:tc>
          <w:tcPr/>
          <w:p>
            <w:pPr>
              <w:pStyle w:val="Compact"/>
            </w:pPr>
            <w:r>
              <w:t xml:space="preserve">40:16</w:t>
            </w:r>
          </w:p>
        </w:tc>
        <w:tc>
          <w:tcPr/>
          <w:p>
            <w:pPr>
              <w:pStyle w:val="Compact"/>
            </w:pPr>
            <w:r>
              <w:t xml:space="preserve">Gedaliah rejects the warning as slander against Ishmael</w:t>
            </w:r>
          </w:p>
        </w:tc>
        <w:tc>
          <w:tcPr/>
          <w:p>
            <w:pPr>
              <w:pStyle w:val="Compact"/>
            </w:pPr>
            <w:r>
              <w:t xml:space="preserve">The word</w:t>
            </w:r>
            <w:r>
              <w:t xml:space="preserve"> </w:t>
            </w:r>
            <w:r>
              <w:t xml:space="preserve">“slander”</w:t>
            </w:r>
            <w:r>
              <w:t xml:space="preserve"> </w:t>
            </w:r>
            <w:r>
              <w:t xml:space="preserve">(šeqer — falsehood) echoes throughout Jeremiah as the word used for false prophecy; Gedaliah’s attribution of falseness to a true warning completes the tragic irony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40:1–6</w:t>
            </w:r>
          </w:p>
        </w:tc>
        <w:tc>
          <w:tcPr/>
          <w:p>
            <w:pPr>
              <w:pStyle w:val="Compact"/>
            </w:pPr>
            <w:r>
              <w:t xml:space="preserve">The Release: Babylon Frees Jeremiah and Vindicates His Word</w:t>
            </w:r>
          </w:p>
        </w:tc>
      </w:tr>
      <w:tr>
        <w:tc>
          <w:tcPr/>
          <w:p>
            <w:pPr>
              <w:pStyle w:val="Compact"/>
            </w:pPr>
            <w:r>
              <w:t xml:space="preserve">2</w:t>
            </w:r>
          </w:p>
        </w:tc>
        <w:tc>
          <w:tcPr/>
          <w:p>
            <w:pPr>
              <w:pStyle w:val="Compact"/>
            </w:pPr>
            <w:r>
              <w:t xml:space="preserve">40:7–12</w:t>
            </w:r>
          </w:p>
        </w:tc>
        <w:tc>
          <w:tcPr/>
          <w:p>
            <w:pPr>
              <w:pStyle w:val="Compact"/>
            </w:pPr>
            <w:r>
              <w:t xml:space="preserve">The Gathering: A Remnant Reconstitutes Under Gedaliah</w:t>
            </w:r>
          </w:p>
        </w:tc>
      </w:tr>
      <w:tr>
        <w:tc>
          <w:tcPr/>
          <w:p>
            <w:pPr>
              <w:pStyle w:val="Compact"/>
            </w:pPr>
            <w:r>
              <w:t xml:space="preserve">3</w:t>
            </w:r>
          </w:p>
        </w:tc>
        <w:tc>
          <w:tcPr/>
          <w:p>
            <w:pPr>
              <w:pStyle w:val="Compact"/>
            </w:pPr>
            <w:r>
              <w:t xml:space="preserve">40:13–16</w:t>
            </w:r>
          </w:p>
        </w:tc>
        <w:tc>
          <w:tcPr/>
          <w:p>
            <w:pPr>
              <w:pStyle w:val="Compact"/>
            </w:pPr>
            <w:r>
              <w:t xml:space="preserve">The Warning Dismissed: The Pattern Recurs Even Among the Survivors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After Jerusalem falls, God opens an unexpected door of restoration for the remnant in the land.</w:t>
      </w:r>
    </w:p>
    <w:p>
      <w:pPr>
        <w:pStyle w:val="BodyText"/>
      </w:pPr>
      <w:r>
        <w:rPr>
          <w:b/>
          <w:bCs/>
        </w:rPr>
        <w:t xml:space="preserve">Primary Claim:</w:t>
      </w:r>
      <w:r>
        <w:t xml:space="preserve"> </w:t>
      </w:r>
      <w:r>
        <w:t xml:space="preserve">God’s discipline of His people does not foreclose His purposes — He opens a way forward even in the rubble of judgment, and the question facing the remnant (and every reader) is whether they will receive His provision with humble obedience or squander it through the same unbelieving patterns that brought the judgment in the first place.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grace that comes through unexpected channels.</w:t>
      </w:r>
      <w:r>
        <w:t xml:space="preserve"> </w:t>
      </w:r>
      <w:r>
        <w:rPr>
          <w:i/>
          <w:iCs/>
        </w:rPr>
        <w:t xml:space="preserve">(Mind/belief)</w:t>
      </w:r>
      <w:r>
        <w:t xml:space="preserve"> </w:t>
      </w:r>
      <w:r>
        <w:t xml:space="preserve">Nebuzaradan is not a covenant member, a prophet, or a priest — he is the general of the army that just destroyed Jerusalem. Yet it is through his mouth that the clearest articulation of the passage’s theology arrives, and through his hands that Jeremiah receives freedom, food, and a gift. God’s provision after discipline routinely comes through means we would not have chosen and voices we might be inclined to dismiss. The reader who has walked through their own form of judgment needs to ask: am I so fixed on what God’s provision</w:t>
      </w:r>
      <w:r>
        <w:t xml:space="preserve"> </w:t>
      </w:r>
      <w:r>
        <w:rPr>
          <w:i/>
          <w:iCs/>
        </w:rPr>
        <w:t xml:space="preserve">should</w:t>
      </w:r>
      <w:r>
        <w:t xml:space="preserve"> </w:t>
      </w:r>
      <w:r>
        <w:t xml:space="preserve">look like that I am missing what He is actually providing?</w:t>
      </w:r>
    </w:p>
    <w:p>
      <w:pPr>
        <w:pStyle w:val="BodyText"/>
      </w:pPr>
      <w:r>
        <w:rPr>
          <w:b/>
          <w:bCs/>
        </w:rPr>
        <w:t xml:space="preserve">2. Examine whether the patterns that preceded the discipline have been interrupted or merely survived it.</w:t>
      </w:r>
      <w:r>
        <w:t xml:space="preserve"> </w:t>
      </w:r>
      <w:r>
        <w:rPr>
          <w:i/>
          <w:iCs/>
        </w:rPr>
        <w:t xml:space="preserve">(Mind/belief)</w:t>
      </w:r>
      <w:r>
        <w:t xml:space="preserve"> </w:t>
      </w:r>
      <w:r>
        <w:t xml:space="preserve">The haunting movement of Jeremiah 40 is that Gedaliah dismisses a credible warning using the exact posture — treating the true word as falsehood — that characterized Judah throughout the prophetic period. Discipline does not automatically produce the repentance and changed dispositions it aims at. The reader must not assume that having walked through hard providences means the underlying patterns have changed. The question after any season of chastening is not only</w:t>
      </w:r>
      <w:r>
        <w:t xml:space="preserve"> </w:t>
      </w:r>
      <w:r>
        <w:t xml:space="preserve">“did I survive it?”</w:t>
      </w:r>
      <w:r>
        <w:t xml:space="preserve"> </w:t>
      </w:r>
      <w:r>
        <w:t xml:space="preserve">but</w:t>
      </w:r>
      <w:r>
        <w:t xml:space="preserve"> </w:t>
      </w:r>
      <w:r>
        <w:t xml:space="preserve">“has it done what it was sent to do in me?”</w:t>
      </w:r>
    </w:p>
    <w:p>
      <w:pPr>
        <w:pStyle w:val="BodyText"/>
      </w:pPr>
      <w:r>
        <w:rPr>
          <w:b/>
          <w:bCs/>
        </w:rPr>
        <w:t xml:space="preserve">3. Let the grief of loss give way to the genuine, if modest, hope God provides.</w:t>
      </w:r>
      <w:r>
        <w:t xml:space="preserve"> </w:t>
      </w:r>
      <w:r>
        <w:rPr>
          <w:i/>
          <w:iCs/>
        </w:rPr>
        <w:t xml:space="preserve">(Affections/worship)</w:t>
      </w:r>
      <w:r>
        <w:t xml:space="preserve"> </w:t>
      </w:r>
      <w:r>
        <w:t xml:space="preserve">The harvest in verses 11–12 is not a restoration of what was — it is wine, summer fruit, and oil gathered from a ruined landscape by a scattered people reconstituting around a governor in a secondary city. But it is real. The returning diaspora communities gathering a great harvest are not pretending everything is normal; they are receiving what God has opened. There is a form of grief-saturated piety that cannot receive the partial restorations God provides because it is holding out for the full restoration all at once. But God meets His people where they are, and the harvest is genuinely His gift — receive it.</w:t>
      </w:r>
    </w:p>
    <w:p>
      <w:pPr>
        <w:pStyle w:val="BodyText"/>
      </w:pPr>
      <w:r>
        <w:rPr>
          <w:b/>
          <w:bCs/>
        </w:rPr>
        <w:t xml:space="preserve">4. Submit to the authority structures God has placed over you even when they feel like humiliation.</w:t>
      </w:r>
      <w:r>
        <w:t xml:space="preserve"> </w:t>
      </w:r>
      <w:r>
        <w:rPr>
          <w:i/>
          <w:iCs/>
        </w:rPr>
        <w:t xml:space="preserve">(Will/behavior)</w:t>
      </w:r>
      <w:r>
        <w:t xml:space="preserve"> </w:t>
      </w:r>
      <w:r>
        <w:t xml:space="preserve">Gedaliah’s exhortation — serve the Babylonians; dwell in the land; do not be afraid — is not a counsel of cowardice. It is the concrete shape of the obedience God had been calling for through Jeremiah’s entire ministry. For the remnant, submitting to Babylonian authority was the form faithful covenant living took in that moment. The reader who faces institutional, vocational, or relational authority that feels unchosen and even unjust must ask whether resistance is faithfulness or whether it is simply the old pattern of preferring autonomy to obedience. Sometimes the faithful path is to settle, serve, and trust God with the long arc.</w:t>
      </w:r>
    </w:p>
    <w:p>
      <w:pPr>
        <w:pStyle w:val="BodyText"/>
      </w:pPr>
      <w:r>
        <w:rPr>
          <w:b/>
          <w:bCs/>
        </w:rPr>
        <w:t xml:space="preserve">5. Take seriously the warnings God sends — especially the ones you are most inclined to dismiss.</w:t>
      </w:r>
      <w:r>
        <w:t xml:space="preserve"> </w:t>
      </w:r>
      <w:r>
        <w:rPr>
          <w:i/>
          <w:iCs/>
        </w:rPr>
        <w:t xml:space="preserve">(Will/behavior)</w:t>
      </w:r>
      <w:r>
        <w:t xml:space="preserve"> </w:t>
      </w:r>
      <w:r>
        <w:t xml:space="preserve">Johanan’s warning is not vague, anonymous, or implausible. It comes from named commanders with specific intelligence and is specific enough to name the actor, the sponsor, and the method. Gedaliah calls it slander. Chapters later, Gedaliah is dead and the community he governed is shattered. The reader who is inclined to dismiss a credible warning — about a relationship, a course of action, a spiritual pattern — because receiving it would be inconvenient or because it comes from someone they have already decided to trust should feel the weight of this narrative. The same word that was dismissed as slander was the word that could have preserved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40 teaches that God’s sovereignty extends over the full arc of His discipline — not only its arrival but its aftermath. The chapter refuses the inference that judgment equals abandonment. Through a Babylonian official, God speaks the truth He has been speaking through Jeremiah for forty years; through Gedaliah’s appointment, He provides a real if fragile structure for the remnant’s continuity in the land; through the returning diaspora communities, He demonstrates that His purposes for His people have not terminated. At the same time, the chapter teaches that divine provision must be received — it is not irresistible in the way that will simply override human postures. Gedaliah’s dismissal of Johanan’s warning is a sobering reminder that the same capacities for refusing God’s word that produced the judgment remain operative in the survivors. The theology of the remnant is not automatically a theology of spiritual renewal; the remnant may carry the old patterns with them.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the Reformed doctrine of God’s preserving grace alongside the doctrine of total depravity in their most uncomfortable juxtaposition. God does not abandon His covenant purposes at the fall of Jerusalem — He opens a way forward through means entirely of His own providing. This is sovereign grace maintaining its purposes through and after judgment. But the chapter equally demonstrates that grace extended is not grace automatically received: the remnant needs to hear the word, believe it, and act on it — and the tragic arc from the dismissed warning to the assassination in chapter 41 shows that unregenerate patterns persist even among those who escape the judgment. Reformed exposition must resist two errors here: it must not moralize Gedaliah into a simple cautionary figure (the text has more compassion for him than that), and it must not so emphasize God’s preserving sovereignty that the genuine human tragedy of squandered restoration disappears. Both are present. The gospel work in this passage is the same work it does throughout Scripture: it shows God faithfully maintaining His purposes through every human failure, not because human failure doesn’t matter, but because His covenant faithfulness is finally independent of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done with you when the judgment falls. He opens doors in the rubble — provision through unexpected hands, opportunity through fragile structures, harvest in a landscape you didn’t expect to live in. The question is not whether He will provide; He has already demonstrated that He will. The question is whether you will receive what He opens with humble obedience, or whether you will carry the same patterns that brought you here into the very moment He has opened for you — treating the true word as slander, the credible warning as insult, and the modest restoration as insufficient. The remnant had a harvest and a governor and a chance. They squandered it. You have a word and an open door. Receive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Nebuzaradan’s speech as merely incidental or politically motivated.</w:t>
      </w:r>
      <w:r>
        <w:t xml:space="preserve"> </w:t>
      </w:r>
      <w:r>
        <w:t xml:space="preserve">The temptation is to move quickly past verses 2–3 as background narration before getting to the</w:t>
      </w:r>
      <w:r>
        <w:t xml:space="preserve"> </w:t>
      </w:r>
      <w:r>
        <w:t xml:space="preserve">“real”</w:t>
      </w:r>
      <w:r>
        <w:t xml:space="preserve"> </w:t>
      </w:r>
      <w:r>
        <w:t xml:space="preserve">content of Gedaliah’s governorship. But Nebuzaradan’s speech is the theological headline of the entire chapter — a pagan commander speaking the prophetic word more clearly than Judah’s own leaders ever did. To pass over it is to miss the narrative’s most arresting irony and one of its most powerful applications: God can use any mouth He chooses to vindicate His truth.</w:t>
      </w:r>
    </w:p>
    <w:p>
      <w:pPr>
        <w:numPr>
          <w:ilvl w:val="0"/>
          <w:numId w:val="1002"/>
        </w:numPr>
      </w:pPr>
      <w:r>
        <w:rPr>
          <w:b/>
          <w:bCs/>
        </w:rPr>
        <w:t xml:space="preserve">Moralizing Gedaliah into a simple</w:t>
      </w:r>
      <w:r>
        <w:rPr>
          <w:b/>
          <w:bCs/>
        </w:rPr>
        <w:t xml:space="preserve"> </w:t>
      </w:r>
      <w:r>
        <w:rPr>
          <w:b/>
          <w:bCs/>
        </w:rPr>
        <w:t xml:space="preserve">“failure to heed warnings”</w:t>
      </w:r>
      <w:r>
        <w:rPr>
          <w:b/>
          <w:bCs/>
        </w:rPr>
        <w:t xml:space="preserve"> </w:t>
      </w:r>
      <w:r>
        <w:rPr>
          <w:b/>
          <w:bCs/>
        </w:rPr>
        <w:t xml:space="preserve">sermon.</w:t>
      </w:r>
      <w:r>
        <w:t xml:space="preserve"> </w:t>
      </w:r>
      <w:r>
        <w:t xml:space="preserve">Gedaliah is not a villain, and his dismissal of the warning is humanly intelligible. Preaching him as simply foolish or faithless flattens the text and produces a lesson (</w:t>
      </w:r>
      <w:r>
        <w:t xml:space="preserve">“listen to warnings”</w:t>
      </w:r>
      <w:r>
        <w:t xml:space="preserve">) that is insufficiently tethered to the passage’s actual theological weight. The tragedy of his dismissal must be read against the backdrop of what is at stake — a genuine restoration opportunity — not reduced to a generic wisdom proverb about taking advice.</w:t>
      </w:r>
    </w:p>
    <w:p>
      <w:pPr>
        <w:numPr>
          <w:ilvl w:val="0"/>
          <w:numId w:val="1002"/>
        </w:numPr>
      </w:pPr>
      <w:r>
        <w:rPr>
          <w:b/>
          <w:bCs/>
        </w:rPr>
        <w:t xml:space="preserve">Preaching the chapter as if it ends in chapter 40.</w:t>
      </w:r>
      <w:r>
        <w:t xml:space="preserve"> </w:t>
      </w:r>
      <w:r>
        <w:t xml:space="preserve">Jeremiah 40 cannot be fully preached without awareness that it ends in a cliffhanger — the warning dismissed, Ishmael still at large, the assassination coming in chapter 41. Preachers who wrap the chapter with Gedaliah’s exhortation and the abundant harvest (vv. 9–12) as a</w:t>
      </w:r>
      <w:r>
        <w:t xml:space="preserve"> </w:t>
      </w:r>
      <w:r>
        <w:t xml:space="preserve">“restoration”</w:t>
      </w:r>
      <w:r>
        <w:t xml:space="preserve"> </w:t>
      </w:r>
      <w:r>
        <w:t xml:space="preserve">message without accounting for the shadow of verses 13–16 will produce a misleadingly optimistic reading. The chapter’s structure is designed to generate dread, not comfort.</w:t>
      </w:r>
    </w:p>
    <w:p>
      <w:pPr>
        <w:numPr>
          <w:ilvl w:val="0"/>
          <w:numId w:val="1002"/>
        </w:numPr>
      </w:pPr>
      <w:r>
        <w:rPr>
          <w:b/>
          <w:bCs/>
        </w:rPr>
        <w:t xml:space="preserve">Neglecting the word-reception theme in favor of historical narration.</w:t>
      </w:r>
      <w:r>
        <w:t xml:space="preserve"> </w:t>
      </w:r>
      <w:r>
        <w:t xml:space="preserve">Jeremiah 40 can easily become a history lesson about post-fall Judean politics. The preacher must keep the theological nerve of the passage visible: this is another episode in the long story of Israel receiving or rejecting the word, and the pattern is not broken by the fall of Jerusalem. Historical context serves exposition; it must not replace it.</w:t>
      </w:r>
    </w:p>
    <w:p>
      <w:pPr>
        <w:numPr>
          <w:ilvl w:val="0"/>
          <w:numId w:val="1002"/>
        </w:numPr>
      </w:pPr>
      <w:r>
        <w:rPr>
          <w:b/>
          <w:bCs/>
        </w:rPr>
        <w:t xml:space="preserve">Separating Jeremiah’s choice to remain (v. 6) from its prophetic significance.</w:t>
      </w:r>
      <w:r>
        <w:t xml:space="preserve"> </w:t>
      </w:r>
      <w:r>
        <w:t xml:space="preserve">Jeremiah’s decision to stay in the land rather than go to Babylon is more than a personal preference. It is a prophetic embodiment of everything he has been preaching — the land is not abandoned, the faithful path is to remain and trust, not to flee. Treating this as biographical detail misses its theological weight: the prophet lives the word he has proclaimed.</w:t>
      </w:r>
    </w:p>
    <w:p>
      <w:pPr>
        <w:numPr>
          <w:ilvl w:val="0"/>
          <w:numId w:val="1002"/>
        </w:numPr>
      </w:pPr>
      <w:r>
        <w:rPr>
          <w:b/>
          <w:bCs/>
        </w:rPr>
        <w:t xml:space="preserve">Applying the submission exhortation (v. 9) without distinguishing its specific shape in this context.</w:t>
      </w:r>
      <w:r>
        <w:t xml:space="preserve"> </w:t>
      </w:r>
      <w:r>
        <w:t xml:space="preserve">Gedaliah’s call to serve the Babylonians is not a universal counsel of passivity before unjust authority — it is the specific form faithfulness took for the remnant at this particular moment in redemptive history, when Jeremiah had explicitly identified Babylon as God’s instrument of discipline. Applications of this verse to contemporary submission must account for that specificity rather than extracting a general principle that the text does not itself offer.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2026-07-14T21:06:07Z</dcterms:created>
  <dcterms:modified xsi:type="dcterms:W3CDTF">2026-07-14T21:06:07Z</dcterms:modified>
</cp:coreProperties>
</file>

<file path=docProps/custom.xml><?xml version="1.0" encoding="utf-8"?>
<Properties xmlns="http://schemas.openxmlformats.org/officeDocument/2006/custom-properties" xmlns:vt="http://schemas.openxmlformats.org/officeDocument/2006/docPropsVTypes"/>
</file>